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2026-HÐNT-KTHN-1013504</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09</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CỔ PHẦN CÔNG NGHỆ CƠ KHÍ BÌNH MINH</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Tổ dân phố 1 (tại nhà ông Trần Văn Sợi), Phường Bạch Đằng, Thành phố Hải Phòng</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0986561808</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0202167139</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Trần Văn Quang</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5" w:name="Bookmark_Copy_25"/>
            <w:bookmarkStart w:id="26" w:name="Bookmark_Copy_26"/>
            <w:bookmarkEnd w:id="25"/>
            <w:bookmarkEnd w:id="26"/>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7" w:name="Bookmark_Copy_27"/>
            <w:bookmarkStart w:id="28" w:name="0_Copy_25"/>
            <w:bookmarkEnd w:id="27"/>
            <w:bookmarkEnd w:id="28"/>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9" w:name="Bookmark_Copy_30"/>
            <w:bookmarkStart w:id="30" w:name="0_Copy_28"/>
            <w:bookmarkEnd w:id="29"/>
            <w:bookmarkEnd w:id="30"/>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CỔ PHẦN CÔNG NGHỆ CƠ KHÍ BÌNH MINH</w:t>
            </w:r>
            <w:r>
              <w:rPr>
                <w:sz w:val="26"/>
                <w:szCs w:val="26"/>
              </w:rPr>
              <w:t xml:space="preserve"> - </w:t>
            </w:r>
            <w:r>
              <w:rPr>
                <w:sz w:val="26"/>
                <w:szCs w:val="26"/>
              </w:rPr>
              <w:t>0986561808</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4"/>
              </w:numPr>
              <w:ind w:left="567" w:hanging="357"/>
              <w:jc w:val="both"/>
            </w:pPr>
            <w:r>
              <w:rPr>
                <w:sz w:val="26"/>
                <w:szCs w:val="26"/>
              </w:rPr>
              <w:t>Thanh toán trước khi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w:t>
            </w:r>
            <w:r>
              <w:rPr>
                <w:sz w:val="26"/>
                <w:szCs w:val="26"/>
              </w:rPr>
              <w:lastRenderedPageBreak/>
              <w:t>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7BB" w:rsidRDefault="00F647BB">
      <w:pPr>
        <w:spacing w:after="0" w:line="240" w:lineRule="auto"/>
      </w:pPr>
      <w:r>
        <w:separator/>
      </w:r>
    </w:p>
  </w:endnote>
  <w:endnote w:type="continuationSeparator" w:id="0">
    <w:p w:rsidR="00F647BB" w:rsidRDefault="00F64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6E020D">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7BB" w:rsidRDefault="00F647BB">
      <w:pPr>
        <w:spacing w:after="0" w:line="240" w:lineRule="auto"/>
      </w:pPr>
      <w:r>
        <w:separator/>
      </w:r>
    </w:p>
  </w:footnote>
  <w:footnote w:type="continuationSeparator" w:id="0">
    <w:p w:rsidR="00F647BB" w:rsidRDefault="00F647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48EC"/>
    <w:rsid w:val="001F47E0"/>
    <w:rsid w:val="002900C6"/>
    <w:rsid w:val="002E3509"/>
    <w:rsid w:val="005B7AF5"/>
    <w:rsid w:val="0060475D"/>
    <w:rsid w:val="00612FC5"/>
    <w:rsid w:val="0061432A"/>
    <w:rsid w:val="0064172B"/>
    <w:rsid w:val="006E020D"/>
    <w:rsid w:val="00746095"/>
    <w:rsid w:val="007C57EA"/>
    <w:rsid w:val="008415DA"/>
    <w:rsid w:val="00933D11"/>
    <w:rsid w:val="00AE1603"/>
    <w:rsid w:val="00B4706E"/>
    <w:rsid w:val="00B53B22"/>
    <w:rsid w:val="00B7530E"/>
    <w:rsid w:val="00BC05B5"/>
    <w:rsid w:val="00BC0F9B"/>
    <w:rsid w:val="00C408C6"/>
    <w:rsid w:val="00D34C2E"/>
    <w:rsid w:val="00D60860"/>
    <w:rsid w:val="00E601BD"/>
    <w:rsid w:val="00E8364C"/>
    <w:rsid w:val="00F36946"/>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9E372-41F1-4DC7-A3CC-585EBBD48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23</cp:revision>
  <dcterms:created xsi:type="dcterms:W3CDTF">2025-12-29T07:48:00Z</dcterms:created>
  <dcterms:modified xsi:type="dcterms:W3CDTF">2025-12-30T07:29:00Z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