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2026-HÐNT-TDKT-1004752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Chủ Tịch HĐQT</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THƯƠNG MẠI SẢN XUẤT XÂY DỰNG MAI LAM</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320 Tân Sơn Nhì, Phường Tân Sơn Nhì,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0304268721</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THƯƠNG MẠI SẢN XUẤT XÂY DỰNG MAI LAM</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05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02/03/2026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