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2026-HÐNT-TÐKT-1007569</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Nguyễn Tiến Hải</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Tổng 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KẾT CẤU THÉP MINH THUẬN</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Số 58, đường 71, khu phố 2, Phường Bình Dương, Thành phố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3703017958</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KẾT CẤU THÉP MINH THUẬN</w:t>
            </w:r>
            <w:r>
              <m:rPr/>
              <w:rPr>
                <w:sz w:val="26"/>
                <w:szCs w:val="26"/>
              </w:rPr>
              <w:t xml:space="preserve"> - </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30 ngày kể từ ngày nhận hàng và hóa đơn chứng từ. Quá hạn thanh toán Bên B phải chịu lãi vay quá hạn với mức lãi suất 1.25%/tháng, nhưng không được quá 03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31/12/2027</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