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2026-HÐNT-TÐKT-1004089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07</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THƯƠNG MẠI DỊCH VỤ QUỐC TẾ BẢO AN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44/14 Đường số 9, Khu phố 5 - Phường Linh Xuân - Thành phố Thủ Đức - TP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0909056224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0312254835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Võ Tấn Lộc</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trPr>
          <w:trHeight w:val="300"/>
          <w:jc w:val="right"/>
        </w:trPr>
        <w:tc>
          <w:tcPr>
            <w:tcW w:w="9923" w:type="dxa"/>
            <w:gridSpan w:val="7"/>
            <w:shd w:val="clear" w:color="auto" w:fill="FFFFFF"/>
            <w:tcMar>
              <w:left w:w="115" w:type="dxa"/>
              <w:right w:w="115" w:type="dxa"/>
            </w:tcMar>
          </w:tcPr>
          <w:p w:rsidR="00BC0F9B" w:rsidRDefault="00BC0F9B" w:rsidP="00E601BD">
            <w:pPr>
              <w:pStyle w:val="Normal1"/>
              <w:numPr>
                <w:ilvl w:val="0"/>
                <w:numId w:val="2"/>
              </w:numPr>
              <w:ind w:left="567"/>
              <w:jc w:val="both"/>
              <w:rPr>
                <w:sz w:val="26"/>
                <w:szCs w:val="26"/>
              </w:rPr>
            </w:pPr>
            <w:r>
              <w:rPr>
                <w:sz w:val="26"/>
                <w:szCs w:val="26"/>
                <w:lang w:val="vi-VN"/>
              </w:rPr>
              <w:t>Chiết khấu: Được thỏa thuận trên cơ sở Hợp đồng chiết khấu ký kết hàng tháng, quý giữa Bên A và Bên B. Định kỳ cuối kỳ chiết khấu, hai bên tiến hành làm biên bản đối chiếu sản lượng mua trong kỳ, mức chiết khấu được hưởng (Bảng quyết toán chiết khấu sau khi đối chiếu có thể ký trực tiếp hoặc ký qua Fax). Trị giá chiết khấu theo hợp đồng này sẽ được giảm trừ vào đơn hàng cuối cùng của kỳ chiết khấu hoặc được xuất điều chỉnh vào hóa đơn bán hàng cuối tháng hoặc giảm trừ vào đơn hàng đầu tiên của kỳ kế tiếp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THƯƠNG MẠI DỊCH VỤ QUỐC TẾ BẢO AN</w:t>
            </w:r>
            <w:r>
              <w:rPr>
                <w:sz w:val="26"/>
                <w:szCs w:val="26"/>
              </w:rPr>
              <w:t xml:space="preserve"> - </w:t>
            </w:r>
            <w:r>
              <w:rPr>
                <w:sz w:val="26"/>
                <w:szCs w:val="26"/>
              </w:rPr>
              <w:t>0909056224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08/01/2026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