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OID</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@Address</w:t>
      </w:r>
      <w:r>
        <w:rPr>
          <w:i/>
          <w:sz w:val="26"/>
          <w:szCs w:val="26"/>
          <w:lang w:val="vi-VN"/>
        </w:rPr>
        <w:t xml:space="preserve">, ngày </w:t>
      </w:r>
      <w:bookmarkStart w:id="3" w:name="Bookmark_Copy_2"/>
      <w:bookmarkStart w:id="4" w:name="0_Copy_2"/>
      <w:bookmarkEnd w:id="3"/>
      <w:bookmarkEnd w:id="4"/>
      <w:r>
        <w:rPr>
          <w:i/>
          <w:iCs/>
          <w:sz w:val="26"/>
          <w:szCs w:val="26"/>
          <w:lang w:val="vi-VN"/>
        </w:rPr>
        <w:t>@Day</w:t>
      </w:r>
      <w:r>
        <w:rPr>
          <w:i/>
          <w:sz w:val="26"/>
          <w:szCs w:val="26"/>
          <w:lang w:val="vi-VN"/>
        </w:rPr>
        <w:t xml:space="preserve"> tháng </w:t>
      </w:r>
      <w:bookmarkStart w:id="5" w:name="Bookmark_Copy_3"/>
      <w:bookmarkStart w:id="6" w:name="0_Copy_3"/>
      <w:bookmarkEnd w:id="5"/>
      <w:bookmarkEnd w:id="6"/>
      <w:r>
        <w:rPr>
          <w:i/>
          <w:iCs/>
          <w:sz w:val="26"/>
          <w:szCs w:val="26"/>
          <w:lang w:val="vi-VN"/>
        </w:rPr>
        <w:t>@Month</w:t>
      </w:r>
      <w:r>
        <w:rPr>
          <w:i/>
          <w:sz w:val="26"/>
          <w:szCs w:val="26"/>
          <w:lang w:val="vi-VN"/>
        </w:rPr>
        <w:t xml:space="preserve"> năm </w:t>
      </w:r>
      <w:bookmarkStart w:id="7" w:name="Bookmark_Copy_4"/>
      <w:bookmarkStart w:id="8" w:name="0_Copy_4"/>
      <w:bookmarkEnd w:id="7"/>
      <w:bookmarkEnd w:id="8"/>
      <w:r>
        <w:rPr>
          <w:i/>
          <w:iCs/>
          <w:sz w:val="26"/>
          <w:szCs w:val="26"/>
          <w:lang w:val="vi-VN"/>
        </w:rPr>
        <w:t>@Year</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@ACustomerName</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@AAddress</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@APhone</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@ABankNumber</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@ATaxCode</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@ARepresentative</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@ADelegatorPosition</w:t>
            </w:r>
            <w:bookmarkStart w:id="15" w:name="Bookmark_Copy_13"/>
            <w:bookmarkEnd w:id="15"/>
          </w:p>
        </w:tc>
      </w:tr>
      <w:tr w:rsidR="006E020D" w:rsidTr="009C6C66">
        <w:trPr>
          <w:jc w:val="right"/>
        </w:trPr>
        <w:tc>
          <w:tcPr>
            <w:tcW w:w="9923" w:type="dxa"/>
            <w:gridSpan w:val="7"/>
          </w:tcPr>
          <w:p w:rsidR="006E020D" w:rsidRPr="001D48EC" w:rsidRDefault="006E020D" w:rsidP="006E020D">
            <w:pPr>
              <w:pStyle w:val="Normal1"/>
              <w:jc w:val="center"/>
              <w:rPr>
                <w:b/>
                <w:i/>
                <w:sz w:val="26"/>
                <w:szCs w:val="26"/>
              </w:rPr>
            </w:pPr>
            <w:r w:rsidRPr="001D48EC">
              <w:rPr>
                <w:i/>
                <w:sz w:val="26"/>
                <w:szCs w:val="26"/>
                <w:lang w:val="vi-VN"/>
              </w:rPr>
              <w:t>@aau</w:t>
            </w:r>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@BCustomerName</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@BAddress</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@BPhone</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r>
              <w:rPr>
                <w:sz w:val="26"/>
                <w:szCs w:val="26"/>
                <w:lang w:val="vi-VN"/>
              </w:rPr>
              <w:t>@BBankNumber</w:t>
            </w:r>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@BTaxCode</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@BRepresentative</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@BDelegatorPosition</w:t>
            </w:r>
            <w:bookmarkStart w:id="23" w:name="Bookmark_Copy_24"/>
            <w:bookmarkEnd w:id="23"/>
          </w:p>
        </w:tc>
      </w:tr>
      <w:tr w:rsidR="006E020D" w:rsidTr="00A0608D">
        <w:trPr>
          <w:jc w:val="right"/>
        </w:trPr>
        <w:tc>
          <w:tcPr>
            <w:tcW w:w="9923" w:type="dxa"/>
            <w:gridSpan w:val="7"/>
          </w:tcPr>
          <w:p w:rsidR="006E020D" w:rsidRPr="006E020D" w:rsidRDefault="006E020D" w:rsidP="006E020D">
            <w:pPr>
              <w:pStyle w:val="Normal1"/>
              <w:ind w:left="284"/>
              <w:jc w:val="center"/>
              <w:rPr>
                <w:sz w:val="26"/>
                <w:szCs w:val="26"/>
              </w:rPr>
            </w:pPr>
            <w:r>
              <w:rPr>
                <w:sz w:val="26"/>
                <w:szCs w:val="26"/>
              </w:rPr>
              <w:t> </w:t>
            </w:r>
            <w:r w:rsidRPr="00F36946">
              <w:rPr>
                <w:i/>
                <w:sz w:val="26"/>
                <w:szCs w:val="26"/>
              </w:rPr>
              <w:t>@bau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BC0F9B">
        <w:trPr>
          <w:trHeight w:val="300"/>
          <w:jc w:val="right"/>
        </w:trPr>
        <w:tc>
          <w:tcPr>
            <w:tcW w:w="9923" w:type="dxa"/>
            <w:gridSpan w:val="7"/>
            <w:shd w:val="clear" w:color="auto" w:fill="FFFFFF"/>
            <w:tcMar>
              <w:left w:w="115" w:type="dxa"/>
              <w:right w:w="115" w:type="dxa"/>
            </w:tcMar>
          </w:tcPr>
          <w:p w:rsidR="00BC0F9B" w:rsidRDefault="00BC0F9B" w:rsidP="00E601BD">
            <w:pPr>
              <w:pStyle w:val="Normal1"/>
              <w:numPr>
                <w:ilvl w:val="0"/>
                <w:numId w:val="2"/>
              </w:numPr>
              <w:ind w:left="567"/>
              <w:jc w:val="both"/>
              <w:rPr>
                <w:sz w:val="26"/>
                <w:szCs w:val="26"/>
              </w:rPr>
            </w:pPr>
            <w:r>
              <w:rPr>
                <w:sz w:val="26"/>
                <w:szCs w:val="26"/>
                <w:lang w:val="vi-VN"/>
              </w:rPr>
              <w:t>@DiscountInfo</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@SalerPhone</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@ACustomerName - @APhone hoặc Email: </w:t>
            </w:r>
            <w:bookmarkStart w:id="28" w:name="Bookmark_Copy_30"/>
            <w:bookmarkStart w:id="29" w:name="0_Copy_28"/>
            <w:bookmarkEnd w:id="28"/>
            <w:bookmarkEnd w:id="29"/>
            <w:r>
              <w:rPr>
                <w:sz w:val="26"/>
                <w:szCs w:val="26"/>
              </w:rPr>
              <w:t>@AEmail</w:t>
            </w:r>
          </w:p>
          <w:p w:rsidR="00D60860" w:rsidRDefault="00D60860" w:rsidP="00E601BD">
            <w:pPr>
              <w:pStyle w:val="Normal1"/>
              <w:ind w:left="720"/>
            </w:pPr>
            <w:r>
              <w:rPr>
                <w:sz w:val="26"/>
                <w:szCs w:val="26"/>
              </w:rPr>
              <w:t>Bên B: SĐT của @BCustomerName - @BPhone hoặc Email: @BEmail</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@PaymentTerm1</w:t>
            </w:r>
          </w:p>
        </w:tc>
      </w:tr>
      <w:tr w:rsidR="00FE24FF">
        <w:trPr>
          <w:trHeight w:val="300"/>
          <w:jc w:val="right"/>
        </w:trPr>
        <w:tc>
          <w:tcPr>
            <w:tcW w:w="9923" w:type="dxa"/>
            <w:gridSpan w:val="7"/>
            <w:shd w:val="clear" w:color="auto" w:fill="FFFFFF"/>
            <w:tcMar>
              <w:left w:w="115" w:type="dxa"/>
              <w:right w:w="115" w:type="dxa"/>
            </w:tcMar>
          </w:tcPr>
          <w:p w:rsidR="00FE24FF" w:rsidRPr="00FE24FF" w:rsidRDefault="00FE24FF" w:rsidP="00FE24FF">
            <w:pPr>
              <w:pStyle w:val="Normal1"/>
              <w:numPr>
                <w:ilvl w:val="0"/>
                <w:numId w:val="4"/>
              </w:numPr>
              <w:ind w:left="567" w:hanging="357"/>
              <w:jc w:val="both"/>
            </w:pPr>
            <w:r>
              <w:rPr>
                <w:sz w:val="26"/>
                <w:szCs w:val="26"/>
              </w:rPr>
              <w:t>@PaymentTerm2</w:t>
            </w:r>
          </w:p>
        </w:tc>
      </w:tr>
      <w:tr w:rsidR="00FE24FF">
        <w:trPr>
          <w:trHeight w:val="300"/>
          <w:jc w:val="right"/>
        </w:trPr>
        <w:tc>
          <w:tcPr>
            <w:tcW w:w="9923" w:type="dxa"/>
            <w:gridSpan w:val="7"/>
            <w:shd w:val="clear" w:color="auto" w:fill="FFFFFF"/>
            <w:tcMar>
              <w:left w:w="115" w:type="dxa"/>
              <w:right w:w="115" w:type="dxa"/>
            </w:tcMar>
          </w:tcPr>
          <w:p w:rsidR="00FE24FF" w:rsidRDefault="00FE24FF" w:rsidP="00E601BD">
            <w:pPr>
              <w:pStyle w:val="Normal1"/>
              <w:numPr>
                <w:ilvl w:val="0"/>
                <w:numId w:val="4"/>
              </w:numPr>
              <w:ind w:left="567" w:hanging="357"/>
              <w:jc w:val="both"/>
              <w:rPr>
                <w:sz w:val="26"/>
                <w:szCs w:val="26"/>
                <w:lang w:val="vi-VN"/>
              </w:rPr>
            </w:pPr>
            <w:r w:rsidRPr="00D85BF2">
              <w:rPr>
                <w:sz w:val="26"/>
                <w:szCs w:val="26"/>
                <w:lang w:val="vi-VN"/>
              </w:rPr>
              <w:t>@PurchaseLimit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lang w:val="vi-VN"/>
              </w:rPr>
              <w:t>@BankPaymentFee</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đưa ra giải quyết tại @Court,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lang w:val="vi-VN"/>
              </w:rPr>
              <w:t>@Note</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@Fromdate</w:t>
            </w:r>
            <w:r>
              <w:rPr>
                <w:sz w:val="26"/>
                <w:szCs w:val="26"/>
              </w:rPr>
              <w:t xml:space="preserve"> đến ngày </w:t>
            </w:r>
            <w:r>
              <w:rPr>
                <w:sz w:val="26"/>
                <w:szCs w:val="26"/>
                <w:lang w:val="vi-VN"/>
              </w:rPr>
              <w:t>@Todate</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 xml:space="preserve">NContracts </w:t>
            </w:r>
            <w:r>
              <w:rPr>
                <w:i/>
                <w:sz w:val="26"/>
                <w:szCs w:val="26"/>
              </w:rPr>
              <w:t>TextNContract</w:t>
            </w:r>
            <w:r>
              <w:rPr>
                <w:sz w:val="26"/>
                <w:szCs w:val="26"/>
              </w:rPr>
              <w:t xml:space="preserve"> bản, mỗi bên giữ AContracts </w:t>
            </w:r>
            <w:r>
              <w:rPr>
                <w:i/>
                <w:sz w:val="26"/>
                <w:szCs w:val="26"/>
              </w:rPr>
              <w:t>TextAContract</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